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9CC" w:rsidRPr="000A4AE6" w:rsidRDefault="00F669CC" w:rsidP="00F669CC">
      <w:pPr>
        <w:pStyle w:val="Titre"/>
        <w:pageBreakBefore/>
        <w:ind w:left="426"/>
        <w:rPr>
          <w:bCs/>
        </w:rPr>
      </w:pPr>
      <w:r>
        <w:t>TD-TP de bases de données</w:t>
      </w:r>
      <w:r>
        <w:br/>
        <w:t xml:space="preserve">SEANCE 4 : EXPERIMENTATIONS SUR </w:t>
      </w:r>
      <w:smartTag w:uri="urn:schemas-microsoft-com:office:smarttags" w:element="PersonName">
        <w:smartTagPr>
          <w:attr w:name="ProductID" w:val="LA CONCURRENCE"/>
        </w:smartTagPr>
        <w:r>
          <w:t xml:space="preserve">LA </w:t>
        </w:r>
        <w:r>
          <w:rPr>
            <w:bCs/>
          </w:rPr>
          <w:t>CONCURRENCE</w:t>
        </w:r>
      </w:smartTag>
      <w:r>
        <w:rPr>
          <w:bCs/>
        </w:rPr>
        <w:t xml:space="preserve"> </w:t>
      </w:r>
    </w:p>
    <w:p w:rsidR="00F669CC" w:rsidRDefault="00F669CC" w:rsidP="00F669CC">
      <w:pPr>
        <w:pStyle w:val="Heading"/>
        <w:spacing w:after="0" w:afterAutospacing="0"/>
        <w:rPr>
          <w:sz w:val="24"/>
          <w:szCs w:val="24"/>
        </w:rPr>
      </w:pPr>
    </w:p>
    <w:p w:rsidR="00F669CC" w:rsidRDefault="00F669CC" w:rsidP="00F669CC">
      <w:pPr>
        <w:pStyle w:val="txt"/>
      </w:pPr>
      <w:r w:rsidRPr="00743056">
        <w:t>Nous allons étudier le comportement d'Oracle en cas d'accès concurrents à la même ressource. Pour cela, nous allons simuler une exécution concurrente à l'aide du petit ensemble de lectures/écritures.</w:t>
      </w:r>
    </w:p>
    <w:p w:rsidR="00F669CC" w:rsidRDefault="00F669CC" w:rsidP="00F669CC">
      <w:pPr>
        <w:pStyle w:val="txt"/>
      </w:pPr>
      <w:r w:rsidRPr="00F669CC">
        <w:t xml:space="preserve">Note : </w:t>
      </w:r>
      <w:r>
        <w:t>Pour vous connecter sur la VM :</w:t>
      </w:r>
    </w:p>
    <w:p w:rsidR="00F669CC" w:rsidRDefault="00F669CC" w:rsidP="00F669CC">
      <w:pPr>
        <w:pStyle w:val="txt"/>
      </w:pPr>
      <w:r>
        <w:t>Connection pour avoir accès à la base : oracle / oracle</w:t>
      </w:r>
    </w:p>
    <w:p w:rsidR="00F669CC" w:rsidRDefault="00F669CC" w:rsidP="00F669CC">
      <w:pPr>
        <w:pStyle w:val="txt"/>
      </w:pPr>
      <w:r>
        <w:t>Connection root pour modifier le clavier en azerty (si besoin) : root / root123</w:t>
      </w:r>
    </w:p>
    <w:p w:rsidR="00F669CC" w:rsidRPr="00F669CC" w:rsidRDefault="00F669CC" w:rsidP="00F669CC">
      <w:pPr>
        <w:pStyle w:val="txt"/>
      </w:pPr>
      <w:r>
        <w:t xml:space="preserve">Connection sur le sgbd : sqlplus / as sysdba </w:t>
      </w:r>
      <w:r>
        <w:sym w:font="Wingdings" w:char="F0DF"/>
      </w:r>
      <w:r>
        <w:t xml:space="preserve"> vous ouvre un terminal</w:t>
      </w:r>
    </w:p>
    <w:p w:rsidR="00F669CC" w:rsidRPr="00743056" w:rsidRDefault="00F669CC" w:rsidP="00F669CC">
      <w:pPr>
        <w:pStyle w:val="txt"/>
      </w:pPr>
    </w:p>
    <w:p w:rsidR="00F669CC" w:rsidRPr="00F669CC" w:rsidRDefault="00F669CC" w:rsidP="00F669CC">
      <w:pPr>
        <w:pStyle w:val="txt"/>
      </w:pPr>
      <w:r w:rsidRPr="00F669CC">
        <w:t>Préparation de l’expérience</w:t>
      </w:r>
    </w:p>
    <w:p w:rsidR="00F669CC" w:rsidRPr="00F669CC" w:rsidRDefault="00F669CC" w:rsidP="00F669CC">
      <w:pPr>
        <w:pStyle w:val="txt"/>
      </w:pPr>
      <w:r>
        <w:t>Créer une table CLI avec deux colonne : NomCli varchar(255) et solde number(6)</w:t>
      </w:r>
    </w:p>
    <w:p w:rsidR="00F669CC" w:rsidRPr="00743056" w:rsidRDefault="00F669CC" w:rsidP="00F669CC">
      <w:pPr>
        <w:pStyle w:val="txt"/>
      </w:pPr>
      <w:r w:rsidRPr="00743056">
        <w:t xml:space="preserve">Insérer un  client nommé ‘Joe’ (attention au majuscules/minuscules). </w:t>
      </w:r>
    </w:p>
    <w:p w:rsidR="00F669CC" w:rsidRPr="00743056" w:rsidRDefault="00F669CC" w:rsidP="00F669CC">
      <w:pPr>
        <w:pStyle w:val="txt"/>
        <w:rPr>
          <w:rFonts w:ascii="Courier New" w:eastAsia="Courier New" w:hAnsi="Courier New" w:cs="Courier New"/>
        </w:rPr>
      </w:pPr>
      <w:r w:rsidRPr="00743056">
        <w:t xml:space="preserve">Récupérer les 3 fichiers nommés </w:t>
      </w:r>
      <w:r w:rsidRPr="00743056">
        <w:rPr>
          <w:rStyle w:val="MachinecrireHTML"/>
        </w:rPr>
        <w:t>Solde.sql, Depot.sql et Retrait.sql</w:t>
      </w:r>
      <w:r w:rsidRPr="00743056">
        <w:t xml:space="preserve"> sur le serveur.</w:t>
      </w:r>
    </w:p>
    <w:p w:rsidR="00F669CC" w:rsidRPr="00743056" w:rsidRDefault="00F669CC" w:rsidP="00F669CC">
      <w:pPr>
        <w:pStyle w:val="txt"/>
        <w:rPr>
          <w:rFonts w:ascii="Courier New" w:eastAsia="Courier New" w:hAnsi="Courier New" w:cs="Courier New"/>
        </w:rPr>
      </w:pPr>
      <w:r w:rsidRPr="00743056">
        <w:t xml:space="preserve">Ouvrez deux fenêtres SQL*PLUS, chacune sera considérée par Oracle comme pilotant une session différente, en situation de concurrence l’une avec l’autre. </w:t>
      </w:r>
    </w:p>
    <w:p w:rsidR="00F669CC" w:rsidRPr="00743056" w:rsidRDefault="00F669CC" w:rsidP="00F669CC">
      <w:pPr>
        <w:pStyle w:val="txt"/>
        <w:rPr>
          <w:rFonts w:ascii="Courier New" w:eastAsia="Courier New" w:hAnsi="Courier New" w:cs="Courier New"/>
        </w:rPr>
      </w:pPr>
      <w:r w:rsidRPr="00743056">
        <w:t xml:space="preserve">Dans tout ce qui suit, on note </w:t>
      </w:r>
      <w:r w:rsidRPr="00743056">
        <w:rPr>
          <w:i/>
        </w:rPr>
        <w:t>INSTR</w:t>
      </w:r>
      <w:r w:rsidRPr="00743056">
        <w:rPr>
          <w:i/>
          <w:vertAlign w:val="subscript"/>
        </w:rPr>
        <w:t>i</w:t>
      </w:r>
      <w:r w:rsidRPr="00743056">
        <w:t xml:space="preserve"> l'exécution de l'instruction </w:t>
      </w:r>
      <w:r w:rsidRPr="00743056">
        <w:rPr>
          <w:i/>
        </w:rPr>
        <w:t>INSTR</w:t>
      </w:r>
      <w:r w:rsidRPr="00743056">
        <w:t xml:space="preserve"> dans la session </w:t>
      </w:r>
      <w:r w:rsidRPr="00743056">
        <w:rPr>
          <w:i/>
        </w:rPr>
        <w:t>i</w:t>
      </w:r>
      <w:r w:rsidRPr="00743056">
        <w:t>. Par exemple Depot</w:t>
      </w:r>
      <w:r w:rsidRPr="00743056">
        <w:rPr>
          <w:vertAlign w:val="subscript"/>
        </w:rPr>
        <w:t>1</w:t>
      </w:r>
      <w:r w:rsidRPr="00743056">
        <w:t xml:space="preserve"> correspond à l'exécution du fichier </w:t>
      </w:r>
      <w:r w:rsidRPr="00743056">
        <w:rPr>
          <w:rStyle w:val="MachinecrireHTML"/>
        </w:rPr>
        <w:t xml:space="preserve">Depot </w:t>
      </w:r>
      <w:r w:rsidRPr="00743056">
        <w:t xml:space="preserve">dans la première fenêtre par la commande </w:t>
      </w:r>
      <w:r w:rsidRPr="00743056">
        <w:rPr>
          <w:rStyle w:val="MachinecrireHTML"/>
        </w:rPr>
        <w:t>START Depot</w:t>
      </w:r>
      <w:r w:rsidRPr="00743056">
        <w:t xml:space="preserve">. On note de même </w:t>
      </w:r>
      <w:r w:rsidRPr="00743056">
        <w:rPr>
          <w:i/>
        </w:rPr>
        <w:t>ROL</w:t>
      </w:r>
      <w:r w:rsidRPr="00743056">
        <w:rPr>
          <w:i/>
          <w:vertAlign w:val="subscript"/>
        </w:rPr>
        <w:t>i</w:t>
      </w:r>
      <w:r w:rsidRPr="00743056">
        <w:t xml:space="preserve"> et </w:t>
      </w:r>
      <w:r w:rsidRPr="00743056">
        <w:rPr>
          <w:i/>
        </w:rPr>
        <w:t>COM</w:t>
      </w:r>
      <w:r w:rsidRPr="00743056">
        <w:rPr>
          <w:i/>
          <w:vertAlign w:val="subscript"/>
        </w:rPr>
        <w:t>i</w:t>
      </w:r>
      <w:r w:rsidRPr="00743056">
        <w:t xml:space="preserve"> l'exécution des commandes </w:t>
      </w:r>
      <w:r w:rsidRPr="00743056">
        <w:rPr>
          <w:rStyle w:val="MachinecrireHTML"/>
        </w:rPr>
        <w:t>rollback;</w:t>
      </w:r>
      <w:r w:rsidRPr="00743056">
        <w:t xml:space="preserve"> et </w:t>
      </w:r>
      <w:r w:rsidRPr="00743056">
        <w:rPr>
          <w:rStyle w:val="MachinecrireHTML"/>
        </w:rPr>
        <w:t>commit;</w:t>
      </w:r>
      <w:r w:rsidRPr="00743056">
        <w:t xml:space="preserve"> dans la session </w:t>
      </w:r>
      <w:r w:rsidRPr="00743056">
        <w:rPr>
          <w:i/>
        </w:rPr>
        <w:t>i</w:t>
      </w:r>
      <w:r w:rsidRPr="00743056">
        <w:t>.</w:t>
      </w:r>
    </w:p>
    <w:p w:rsidR="00F669CC" w:rsidRPr="00743056" w:rsidRDefault="00923AA9" w:rsidP="00F669CC">
      <w:pPr>
        <w:pStyle w:val="Heading"/>
        <w:spacing w:after="0" w:afterAutospacing="0"/>
        <w:rPr>
          <w:sz w:val="20"/>
        </w:rPr>
      </w:pPr>
      <w:r>
        <w:rPr>
          <w:sz w:val="20"/>
        </w:rPr>
        <w:t>Fonctionnement d’Oracle</w:t>
      </w:r>
      <w:bookmarkStart w:id="0" w:name="_GoBack"/>
      <w:bookmarkEnd w:id="0"/>
    </w:p>
    <w:p w:rsidR="00F669CC" w:rsidRPr="00743056" w:rsidRDefault="00F669CC" w:rsidP="00F669CC">
      <w:pPr>
        <w:pStyle w:val="txt"/>
      </w:pPr>
    </w:p>
    <w:p w:rsidR="00F669CC" w:rsidRPr="00743056" w:rsidRDefault="00F669CC" w:rsidP="00F669CC">
      <w:pPr>
        <w:pStyle w:val="txt"/>
      </w:pPr>
      <w:r w:rsidRPr="00743056">
        <w:rPr>
          <w:b/>
          <w:bCs/>
        </w:rPr>
        <w:t>Q1 :</w:t>
      </w:r>
      <w:r w:rsidRPr="00743056">
        <w:t xml:space="preserve"> Exécutez les séquences d'instruction décrites ci-dessous. Observez et essayez de comprendre le fonctionnement du verrouillage d'Oracle dans ce mode.</w:t>
      </w:r>
    </w:p>
    <w:p w:rsidR="00F669CC" w:rsidRPr="00743056" w:rsidRDefault="00F669CC" w:rsidP="00F669CC">
      <w:pPr>
        <w:pStyle w:val="txt"/>
      </w:pPr>
    </w:p>
    <w:p w:rsidR="00F669CC" w:rsidRPr="00743056" w:rsidRDefault="00F669CC" w:rsidP="00F669CC">
      <w:pPr>
        <w:pStyle w:val="txt"/>
      </w:pPr>
      <w:r w:rsidRPr="00743056">
        <w:t>L'utilisateur 1 effectue un retrait sur le compte de ‘Joe’. L'utilisateur 2 ne fait que consulter les soldes…</w:t>
      </w:r>
    </w:p>
    <w:p w:rsidR="00F669CC" w:rsidRPr="00743056" w:rsidRDefault="00F669CC" w:rsidP="00F669CC">
      <w:pPr>
        <w:pStyle w:val="txt"/>
      </w:pPr>
      <w:r w:rsidRPr="00743056">
        <w:t>COM</w:t>
      </w:r>
      <w:r w:rsidRPr="00743056">
        <w:rPr>
          <w:vertAlign w:val="subscript"/>
        </w:rPr>
        <w:t xml:space="preserve">1, </w:t>
      </w:r>
      <w:r w:rsidRPr="00743056">
        <w:t>COM</w:t>
      </w:r>
      <w:r w:rsidRPr="00743056">
        <w:rPr>
          <w:vertAlign w:val="subscript"/>
        </w:rPr>
        <w:t xml:space="preserve">2, </w:t>
      </w:r>
      <w:r w:rsidRPr="00743056">
        <w:t>Solde</w:t>
      </w:r>
      <w:r w:rsidRPr="00743056">
        <w:rPr>
          <w:vertAlign w:val="subscript"/>
        </w:rPr>
        <w:t>1</w:t>
      </w:r>
      <w:r w:rsidRPr="00743056">
        <w:t>, Solde</w:t>
      </w:r>
      <w:r w:rsidRPr="00743056">
        <w:rPr>
          <w:vertAlign w:val="subscript"/>
        </w:rPr>
        <w:t>2</w:t>
      </w:r>
      <w:r w:rsidRPr="00743056">
        <w:t>, Retrait</w:t>
      </w:r>
      <w:r w:rsidRPr="00743056">
        <w:rPr>
          <w:vertAlign w:val="subscript"/>
        </w:rPr>
        <w:t>1</w:t>
      </w:r>
      <w:r w:rsidRPr="00743056">
        <w:t>, Solde</w:t>
      </w:r>
      <w:r w:rsidRPr="00743056">
        <w:rPr>
          <w:vertAlign w:val="subscript"/>
        </w:rPr>
        <w:t>2</w:t>
      </w:r>
      <w:r w:rsidRPr="00743056">
        <w:t>, ROL</w:t>
      </w:r>
      <w:r w:rsidRPr="00743056">
        <w:rPr>
          <w:vertAlign w:val="subscript"/>
        </w:rPr>
        <w:t>1</w:t>
      </w:r>
      <w:r w:rsidRPr="00743056">
        <w:t>, Solde</w:t>
      </w:r>
      <w:r w:rsidRPr="00743056">
        <w:rPr>
          <w:vertAlign w:val="subscript"/>
        </w:rPr>
        <w:t>1</w:t>
      </w:r>
      <w:r w:rsidRPr="00743056">
        <w:t>, Solde</w:t>
      </w:r>
      <w:r w:rsidRPr="00743056">
        <w:rPr>
          <w:vertAlign w:val="subscript"/>
        </w:rPr>
        <w:t>2</w:t>
      </w:r>
      <w:r w:rsidRPr="00743056">
        <w:t>.</w:t>
      </w:r>
    </w:p>
    <w:p w:rsidR="00F669CC" w:rsidRPr="00743056" w:rsidRDefault="00F669CC" w:rsidP="00F669CC">
      <w:pPr>
        <w:pStyle w:val="txt"/>
      </w:pPr>
      <w:r w:rsidRPr="00743056">
        <w:t xml:space="preserve">Idem, mais avec un </w:t>
      </w:r>
      <w:r w:rsidRPr="00743056">
        <w:rPr>
          <w:i/>
        </w:rPr>
        <w:t xml:space="preserve">commit : </w:t>
      </w:r>
    </w:p>
    <w:p w:rsidR="00F669CC" w:rsidRPr="00743056" w:rsidRDefault="00F669CC" w:rsidP="00F669CC">
      <w:pPr>
        <w:pStyle w:val="txt"/>
        <w:rPr>
          <w:lang w:val="pt-PT"/>
        </w:rPr>
      </w:pPr>
      <w:r w:rsidRPr="00743056">
        <w:rPr>
          <w:lang w:val="pt-PT"/>
        </w:rPr>
        <w:t>COM</w:t>
      </w:r>
      <w:r w:rsidRPr="00743056">
        <w:rPr>
          <w:vertAlign w:val="subscript"/>
          <w:lang w:val="pt-PT"/>
        </w:rPr>
        <w:t xml:space="preserve">1, </w:t>
      </w:r>
      <w:r w:rsidRPr="00743056">
        <w:rPr>
          <w:lang w:val="pt-PT"/>
        </w:rPr>
        <w:t>COM</w:t>
      </w:r>
      <w:r w:rsidRPr="00743056">
        <w:rPr>
          <w:vertAlign w:val="subscript"/>
          <w:lang w:val="pt-PT"/>
        </w:rPr>
        <w:t xml:space="preserve">2, </w:t>
      </w:r>
      <w:r w:rsidRPr="00743056">
        <w:rPr>
          <w:lang w:val="pt-PT"/>
        </w:rPr>
        <w:t>Solde</w:t>
      </w:r>
      <w:r w:rsidRPr="00743056">
        <w:rPr>
          <w:vertAlign w:val="subscript"/>
          <w:lang w:val="pt-PT"/>
        </w:rPr>
        <w:t>1</w:t>
      </w:r>
      <w:r w:rsidRPr="00743056">
        <w:rPr>
          <w:lang w:val="pt-PT"/>
        </w:rPr>
        <w:t>, Solde</w:t>
      </w:r>
      <w:r w:rsidRPr="00743056">
        <w:rPr>
          <w:vertAlign w:val="subscript"/>
          <w:lang w:val="pt-PT"/>
        </w:rPr>
        <w:t>2</w:t>
      </w:r>
      <w:r w:rsidRPr="00743056">
        <w:rPr>
          <w:lang w:val="pt-PT"/>
        </w:rPr>
        <w:t>, Retrait</w:t>
      </w:r>
      <w:r w:rsidRPr="00743056">
        <w:rPr>
          <w:vertAlign w:val="subscript"/>
          <w:lang w:val="pt-PT"/>
        </w:rPr>
        <w:t>1</w:t>
      </w:r>
      <w:r w:rsidRPr="00743056">
        <w:rPr>
          <w:lang w:val="pt-PT"/>
        </w:rPr>
        <w:t>, Solde</w:t>
      </w:r>
      <w:r w:rsidRPr="00743056">
        <w:rPr>
          <w:vertAlign w:val="subscript"/>
          <w:lang w:val="pt-PT"/>
        </w:rPr>
        <w:t>2</w:t>
      </w:r>
      <w:r w:rsidRPr="00743056">
        <w:rPr>
          <w:lang w:val="pt-PT"/>
        </w:rPr>
        <w:t>, COM</w:t>
      </w:r>
      <w:r w:rsidRPr="00743056">
        <w:rPr>
          <w:vertAlign w:val="subscript"/>
          <w:lang w:val="pt-PT"/>
        </w:rPr>
        <w:t>1</w:t>
      </w:r>
      <w:r w:rsidRPr="00743056">
        <w:rPr>
          <w:lang w:val="pt-PT"/>
        </w:rPr>
        <w:t>, Solde</w:t>
      </w:r>
      <w:r w:rsidRPr="00743056">
        <w:rPr>
          <w:vertAlign w:val="subscript"/>
          <w:lang w:val="pt-PT"/>
        </w:rPr>
        <w:t>1</w:t>
      </w:r>
      <w:r w:rsidRPr="00743056">
        <w:rPr>
          <w:lang w:val="pt-PT"/>
        </w:rPr>
        <w:t>, Solde</w:t>
      </w:r>
      <w:r w:rsidRPr="00743056">
        <w:rPr>
          <w:vertAlign w:val="subscript"/>
          <w:lang w:val="pt-PT"/>
        </w:rPr>
        <w:t>2</w:t>
      </w:r>
      <w:r w:rsidRPr="00743056">
        <w:rPr>
          <w:lang w:val="pt-PT"/>
        </w:rPr>
        <w:t xml:space="preserve">. </w:t>
      </w:r>
    </w:p>
    <w:p w:rsidR="00F669CC" w:rsidRPr="00743056" w:rsidRDefault="00F669CC" w:rsidP="00F669CC">
      <w:pPr>
        <w:pStyle w:val="txt"/>
        <w:rPr>
          <w:b/>
          <w:i/>
        </w:rPr>
      </w:pPr>
      <w:r w:rsidRPr="00743056">
        <w:t>L'utilisateur 1 fait un retrait sur le compte de ‘Joe’, alors que l’utilisateur 2 crédite le compte :</w:t>
      </w:r>
    </w:p>
    <w:p w:rsidR="00F669CC" w:rsidRPr="00743056" w:rsidRDefault="00F669CC" w:rsidP="00F669CC">
      <w:pPr>
        <w:pStyle w:val="txt"/>
      </w:pPr>
      <w:r w:rsidRPr="00743056">
        <w:t>COM</w:t>
      </w:r>
      <w:r w:rsidRPr="00743056">
        <w:rPr>
          <w:vertAlign w:val="subscript"/>
        </w:rPr>
        <w:t xml:space="preserve">1, </w:t>
      </w:r>
      <w:r w:rsidRPr="00743056">
        <w:t>COM</w:t>
      </w:r>
      <w:r w:rsidRPr="00743056">
        <w:rPr>
          <w:vertAlign w:val="subscript"/>
        </w:rPr>
        <w:t xml:space="preserve">2, </w:t>
      </w:r>
      <w:r w:rsidRPr="00743056">
        <w:t>Solde</w:t>
      </w:r>
      <w:r w:rsidRPr="00743056">
        <w:rPr>
          <w:vertAlign w:val="subscript"/>
        </w:rPr>
        <w:t>1</w:t>
      </w:r>
      <w:r w:rsidRPr="00743056">
        <w:t>, Solde</w:t>
      </w:r>
      <w:r w:rsidRPr="00743056">
        <w:rPr>
          <w:vertAlign w:val="subscript"/>
        </w:rPr>
        <w:t>2</w:t>
      </w:r>
      <w:r w:rsidRPr="00743056">
        <w:t>, Retrait</w:t>
      </w:r>
      <w:r w:rsidRPr="00743056">
        <w:rPr>
          <w:vertAlign w:val="subscript"/>
        </w:rPr>
        <w:t xml:space="preserve">1 , </w:t>
      </w:r>
      <w:r w:rsidRPr="00743056">
        <w:t>Solde</w:t>
      </w:r>
      <w:r w:rsidRPr="00743056">
        <w:rPr>
          <w:vertAlign w:val="subscript"/>
        </w:rPr>
        <w:t>2</w:t>
      </w:r>
      <w:r w:rsidRPr="00743056">
        <w:t>, Depot</w:t>
      </w:r>
      <w:r w:rsidRPr="00743056">
        <w:rPr>
          <w:vertAlign w:val="subscript"/>
        </w:rPr>
        <w:t>2</w:t>
      </w:r>
      <w:r w:rsidRPr="00743056">
        <w:t>, Solde</w:t>
      </w:r>
      <w:r w:rsidRPr="00743056">
        <w:rPr>
          <w:vertAlign w:val="subscript"/>
        </w:rPr>
        <w:t>1</w:t>
      </w:r>
      <w:r w:rsidRPr="00743056">
        <w:t>, Solde</w:t>
      </w:r>
      <w:r w:rsidRPr="00743056">
        <w:rPr>
          <w:vertAlign w:val="subscript"/>
        </w:rPr>
        <w:t>2</w:t>
      </w:r>
      <w:r w:rsidRPr="00743056">
        <w:t>, COM</w:t>
      </w:r>
      <w:r w:rsidRPr="00743056">
        <w:rPr>
          <w:vertAlign w:val="subscript"/>
        </w:rPr>
        <w:t>1</w:t>
      </w:r>
      <w:r w:rsidRPr="00743056">
        <w:t>, COM</w:t>
      </w:r>
      <w:r w:rsidRPr="00743056">
        <w:rPr>
          <w:vertAlign w:val="subscript"/>
        </w:rPr>
        <w:t>2</w:t>
      </w:r>
      <w:r w:rsidRPr="00743056">
        <w:t xml:space="preserve">. </w:t>
      </w:r>
    </w:p>
    <w:p w:rsidR="00F669CC" w:rsidRPr="00743056" w:rsidRDefault="00F669CC" w:rsidP="00F669CC">
      <w:pPr>
        <w:pStyle w:val="txt"/>
      </w:pPr>
    </w:p>
    <w:p w:rsidR="00F669CC" w:rsidRPr="00743056" w:rsidRDefault="00F669CC" w:rsidP="00F669CC">
      <w:pPr>
        <w:pStyle w:val="txt"/>
      </w:pPr>
      <w:r w:rsidRPr="00743056">
        <w:rPr>
          <w:b/>
          <w:bCs/>
        </w:rPr>
        <w:t>Q2 :</w:t>
      </w:r>
      <w:r w:rsidRPr="00743056">
        <w:t xml:space="preserve"> ORACLE garantit-il la sérialisabilité des transactions ? </w:t>
      </w:r>
    </w:p>
    <w:p w:rsidR="00F669CC" w:rsidRPr="00743056" w:rsidRDefault="00F669CC" w:rsidP="00F669CC">
      <w:pPr>
        <w:pStyle w:val="txt"/>
      </w:pPr>
      <w:r w:rsidRPr="00743056">
        <w:rPr>
          <w:b/>
          <w:bCs/>
        </w:rPr>
        <w:t>Q3 :</w:t>
      </w:r>
      <w:r w:rsidRPr="00743056">
        <w:t xml:space="preserve"> Un verrou est-il demandé et/ou placé sur une ligne lors d'une lecture ? </w:t>
      </w:r>
    </w:p>
    <w:p w:rsidR="00F669CC" w:rsidRPr="00743056" w:rsidRDefault="00F669CC" w:rsidP="00F669CC">
      <w:pPr>
        <w:pStyle w:val="txt"/>
      </w:pPr>
      <w:r w:rsidRPr="00743056">
        <w:rPr>
          <w:b/>
          <w:bCs/>
        </w:rPr>
        <w:t>Q4 :</w:t>
      </w:r>
      <w:r w:rsidRPr="00743056">
        <w:t xml:space="preserve"> Ce comportement correspond-il à un niveau d’isolation décrit dans la norme SQL? Pourquoi ?</w:t>
      </w:r>
    </w:p>
    <w:p w:rsidR="00F669CC" w:rsidRPr="00743056" w:rsidRDefault="00F669CC" w:rsidP="00F669CC">
      <w:pPr>
        <w:pStyle w:val="txt"/>
      </w:pPr>
      <w:r w:rsidRPr="00743056">
        <w:rPr>
          <w:b/>
          <w:bCs/>
        </w:rPr>
        <w:t>Q5 :</w:t>
      </w:r>
      <w:r w:rsidRPr="00743056">
        <w:t xml:space="preserve"> Cela correspond-il à l’utilisation d’un protocole multi-versions ? Pourquoi ?</w:t>
      </w:r>
    </w:p>
    <w:p w:rsidR="00F669CC" w:rsidRPr="00743056" w:rsidRDefault="00F669CC" w:rsidP="00F669CC">
      <w:pPr>
        <w:pStyle w:val="Heading"/>
        <w:spacing w:after="0" w:afterAutospacing="0"/>
        <w:rPr>
          <w:sz w:val="20"/>
        </w:rPr>
      </w:pPr>
      <w:r>
        <w:rPr>
          <w:sz w:val="20"/>
        </w:rPr>
        <w:t>C</w:t>
      </w:r>
      <w:r w:rsidRPr="00743056">
        <w:rPr>
          <w:sz w:val="20"/>
        </w:rPr>
        <w:t xml:space="preserve">lause FOR UPDATE </w:t>
      </w:r>
    </w:p>
    <w:p w:rsidR="00F669CC" w:rsidRPr="00743056" w:rsidRDefault="00F669CC" w:rsidP="00F669CC">
      <w:pPr>
        <w:pStyle w:val="txt"/>
      </w:pPr>
    </w:p>
    <w:p w:rsidR="00F669CC" w:rsidRPr="00743056" w:rsidRDefault="00F669CC" w:rsidP="00F669CC">
      <w:pPr>
        <w:pStyle w:val="txt"/>
      </w:pPr>
      <w:r w:rsidRPr="00743056">
        <w:rPr>
          <w:b/>
          <w:bCs/>
        </w:rPr>
        <w:t>Q6 :</w:t>
      </w:r>
      <w:r w:rsidRPr="00743056">
        <w:t xml:space="preserve"> Modifier le script </w:t>
      </w:r>
      <w:r w:rsidRPr="00743056">
        <w:rPr>
          <w:rStyle w:val="MachinecrireHTML"/>
        </w:rPr>
        <w:t xml:space="preserve">Solde.sql </w:t>
      </w:r>
      <w:r w:rsidRPr="00743056">
        <w:t xml:space="preserve">en ajoutant la clause FOR UPDATE. Expérimentez à nouveau les exécutions précédentes. </w:t>
      </w:r>
    </w:p>
    <w:p w:rsidR="00F669CC" w:rsidRPr="00743056" w:rsidRDefault="00F669CC" w:rsidP="00F669CC">
      <w:pPr>
        <w:pStyle w:val="txt"/>
      </w:pPr>
      <w:r w:rsidRPr="00743056">
        <w:rPr>
          <w:b/>
          <w:bCs/>
        </w:rPr>
        <w:t>Q7 :</w:t>
      </w:r>
      <w:r w:rsidRPr="00743056">
        <w:t xml:space="preserve"> Expliquez ce que vous observez et pour conclure sur la nouvelle stratégie appliquée.</w:t>
      </w:r>
    </w:p>
    <w:p w:rsidR="00F669CC" w:rsidRDefault="00F669CC" w:rsidP="00F669CC">
      <w:pPr>
        <w:pStyle w:val="Heading"/>
        <w:spacing w:after="0" w:afterAutospacing="0"/>
        <w:rPr>
          <w:sz w:val="20"/>
        </w:rPr>
      </w:pPr>
    </w:p>
    <w:p w:rsidR="00F669CC" w:rsidRDefault="00F669CC" w:rsidP="00F669CC">
      <w:pPr>
        <w:pStyle w:val="Heading"/>
        <w:spacing w:after="0" w:afterAutospacing="0"/>
        <w:rPr>
          <w:sz w:val="20"/>
        </w:rPr>
      </w:pPr>
    </w:p>
    <w:p w:rsidR="00F669CC" w:rsidRPr="00743056" w:rsidRDefault="00F669CC" w:rsidP="00F669CC">
      <w:pPr>
        <w:pStyle w:val="Heading"/>
        <w:spacing w:after="0" w:afterAutospacing="0"/>
        <w:rPr>
          <w:sz w:val="20"/>
        </w:rPr>
      </w:pPr>
      <w:r w:rsidRPr="00743056">
        <w:rPr>
          <w:sz w:val="20"/>
        </w:rPr>
        <w:lastRenderedPageBreak/>
        <w:t>Niveau d’isolation SERIALIZABLE</w:t>
      </w:r>
    </w:p>
    <w:p w:rsidR="00F669CC" w:rsidRPr="00743056" w:rsidRDefault="00F669CC" w:rsidP="00F669CC">
      <w:pPr>
        <w:pStyle w:val="txt"/>
      </w:pPr>
    </w:p>
    <w:p w:rsidR="00F669CC" w:rsidRPr="00743056" w:rsidRDefault="00F669CC" w:rsidP="00F669CC">
      <w:pPr>
        <w:pStyle w:val="txt"/>
      </w:pPr>
      <w:r w:rsidRPr="00743056">
        <w:rPr>
          <w:b/>
          <w:bCs/>
        </w:rPr>
        <w:t>Q8 :</w:t>
      </w:r>
      <w:r w:rsidRPr="00743056">
        <w:t xml:space="preserve"> Expérimentez les exécutions précédentes en spécifiant le mode suivant : SET TRANSACTION ISOLATION LEVEL SERIALIZABLE. Attention, cette instruction de changement du degré d’isolation doit être la première de la transaction, et sa portée n’est que la transaction en cours  (donc à refaire systématiquement après le COMMIT, autrement une nouvelle transaction démarre en degré d’isolation par défaut).</w:t>
      </w:r>
    </w:p>
    <w:p w:rsidR="00F669CC" w:rsidRPr="00743056" w:rsidRDefault="00F669CC" w:rsidP="00F669CC">
      <w:pPr>
        <w:pStyle w:val="txt"/>
      </w:pPr>
      <w:r w:rsidRPr="00743056">
        <w:rPr>
          <w:b/>
          <w:bCs/>
        </w:rPr>
        <w:t>Q9 :</w:t>
      </w:r>
      <w:r w:rsidRPr="00743056">
        <w:t xml:space="preserve"> Comparer et expliquer comment Oracle verrouille les données dans ce mode.</w:t>
      </w:r>
    </w:p>
    <w:p w:rsidR="00F669CC" w:rsidRDefault="00F669CC" w:rsidP="00F669CC">
      <w:pPr>
        <w:pStyle w:val="Heading"/>
        <w:spacing w:after="0" w:afterAutospacing="0"/>
        <w:rPr>
          <w:b w:val="0"/>
          <w:sz w:val="20"/>
        </w:rPr>
      </w:pPr>
      <w:r>
        <w:rPr>
          <w:sz w:val="20"/>
        </w:rPr>
        <w:t>Deadlock</w:t>
      </w:r>
    </w:p>
    <w:p w:rsidR="00F669CC" w:rsidRPr="00F669CC" w:rsidRDefault="00F669CC" w:rsidP="00F669CC">
      <w:pPr>
        <w:pStyle w:val="Heading"/>
        <w:spacing w:after="0" w:afterAutospacing="0"/>
        <w:rPr>
          <w:b w:val="0"/>
          <w:sz w:val="20"/>
        </w:rPr>
      </w:pPr>
      <w:r>
        <w:rPr>
          <w:sz w:val="20"/>
        </w:rPr>
        <w:t xml:space="preserve">Q10 : </w:t>
      </w:r>
      <w:r>
        <w:rPr>
          <w:b w:val="0"/>
          <w:sz w:val="20"/>
        </w:rPr>
        <w:t>Donnez une séquence permettant de produire un deadlock. Dans quel(s) niveau(x) d’isolation pourvez-vous créer un deadlock ? Que fait oracle lorsque le deadlock se produit ?</w:t>
      </w:r>
    </w:p>
    <w:p w:rsidR="009B1D6B" w:rsidRDefault="009B1D6B"/>
    <w:sectPr w:rsidR="009B1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CC"/>
    <w:rsid w:val="00923AA9"/>
    <w:rsid w:val="009B1D6B"/>
    <w:rsid w:val="00F6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11ACB-BAB7-4174-9D29-FBD130D0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F669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240" w:lineRule="auto"/>
      <w:jc w:val="center"/>
    </w:pPr>
    <w:rPr>
      <w:rFonts w:ascii="Arial" w:eastAsia="Times New Roman" w:hAnsi="Arial" w:cs="Arial"/>
      <w:b/>
      <w:caps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669CC"/>
    <w:rPr>
      <w:rFonts w:ascii="Arial" w:eastAsia="Times New Roman" w:hAnsi="Arial" w:cs="Arial"/>
      <w:b/>
      <w:caps/>
      <w:sz w:val="32"/>
      <w:szCs w:val="20"/>
      <w:lang w:eastAsia="fr-FR"/>
    </w:rPr>
  </w:style>
  <w:style w:type="paragraph" w:customStyle="1" w:styleId="txt">
    <w:name w:val="txt"/>
    <w:basedOn w:val="Normal"/>
    <w:link w:val="txtCar"/>
    <w:autoRedefine/>
    <w:rsid w:val="00F669CC"/>
    <w:pPr>
      <w:spacing w:before="40" w:after="6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Heading">
    <w:name w:val="Heading"/>
    <w:basedOn w:val="Normal"/>
    <w:rsid w:val="00F669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0"/>
      <w:lang w:eastAsia="fr-FR"/>
    </w:rPr>
  </w:style>
  <w:style w:type="character" w:customStyle="1" w:styleId="txtCar">
    <w:name w:val="txt Car"/>
    <w:basedOn w:val="Policepardfaut"/>
    <w:link w:val="txt"/>
    <w:locked/>
    <w:rsid w:val="00F669CC"/>
    <w:rPr>
      <w:rFonts w:ascii="Arial" w:eastAsia="Times New Roman" w:hAnsi="Arial" w:cs="Arial"/>
      <w:sz w:val="20"/>
      <w:szCs w:val="20"/>
      <w:lang w:eastAsia="fr-FR"/>
    </w:rPr>
  </w:style>
  <w:style w:type="character" w:styleId="MachinecrireHTML">
    <w:name w:val="HTML Typewriter"/>
    <w:basedOn w:val="Policepardfaut"/>
    <w:rsid w:val="00F669CC"/>
    <w:rPr>
      <w:rFonts w:ascii="Courier New" w:eastAsia="Courier New" w:hAnsi="Courier New" w:cs="Courier New"/>
      <w:color w:val="00008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</dc:creator>
  <cp:keywords/>
  <dc:description/>
  <cp:lastModifiedBy>BENG</cp:lastModifiedBy>
  <cp:revision>2</cp:revision>
  <cp:lastPrinted>2017-02-20T10:43:00Z</cp:lastPrinted>
  <dcterms:created xsi:type="dcterms:W3CDTF">2017-02-20T10:32:00Z</dcterms:created>
  <dcterms:modified xsi:type="dcterms:W3CDTF">2017-02-20T14:05:00Z</dcterms:modified>
</cp:coreProperties>
</file>